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6563" w14:textId="0842556B" w:rsidR="004C7909" w:rsidRPr="00A32336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 xml:space="preserve">Załącznik nr </w:t>
      </w:r>
      <w:r>
        <w:rPr>
          <w:rFonts w:cs="Times New Roman"/>
          <w:i/>
          <w:sz w:val="24"/>
          <w:szCs w:val="24"/>
        </w:rPr>
        <w:t>2</w:t>
      </w:r>
      <w:r w:rsidRPr="00A32336">
        <w:rPr>
          <w:rFonts w:cs="Times New Roman"/>
          <w:i/>
          <w:sz w:val="24"/>
          <w:szCs w:val="24"/>
        </w:rPr>
        <w:t xml:space="preserve"> do zapytania ofertowego</w:t>
      </w:r>
      <w:r>
        <w:rPr>
          <w:rFonts w:cs="Times New Roman"/>
          <w:i/>
          <w:sz w:val="24"/>
          <w:szCs w:val="24"/>
        </w:rPr>
        <w:t xml:space="preserve"> </w:t>
      </w:r>
      <w:r w:rsidR="005F19D9">
        <w:rPr>
          <w:rFonts w:cs="Times New Roman"/>
          <w:i/>
          <w:sz w:val="24"/>
          <w:szCs w:val="24"/>
        </w:rPr>
        <w:t>–</w:t>
      </w:r>
      <w:r>
        <w:rPr>
          <w:rFonts w:cs="Times New Roman"/>
          <w:i/>
          <w:sz w:val="24"/>
          <w:szCs w:val="24"/>
        </w:rPr>
        <w:t xml:space="preserve"> </w:t>
      </w:r>
      <w:r w:rsidR="005F19D9">
        <w:rPr>
          <w:rFonts w:cs="Times New Roman"/>
          <w:i/>
          <w:sz w:val="24"/>
          <w:szCs w:val="24"/>
        </w:rPr>
        <w:t>potwierdzenie specyfikacji</w:t>
      </w:r>
      <w:r>
        <w:rPr>
          <w:rFonts w:cs="Times New Roman"/>
          <w:i/>
          <w:sz w:val="24"/>
          <w:szCs w:val="24"/>
        </w:rPr>
        <w:t>/oświadczenie</w:t>
      </w:r>
    </w:p>
    <w:p w14:paraId="29AD6706" w14:textId="77777777" w:rsidR="004C7909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</w:t>
      </w:r>
    </w:p>
    <w:p w14:paraId="7C5625C5" w14:textId="77777777" w:rsidR="004C7909" w:rsidRPr="00A32336" w:rsidRDefault="004C7909" w:rsidP="004C7909">
      <w:pPr>
        <w:spacing w:after="0" w:line="360" w:lineRule="auto"/>
        <w:ind w:left="708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………….</w:t>
      </w:r>
    </w:p>
    <w:p w14:paraId="0FF3F98B" w14:textId="77777777" w:rsidR="004C7909" w:rsidRPr="00915249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</w:t>
      </w:r>
      <w:r w:rsidRPr="00915249">
        <w:rPr>
          <w:rFonts w:cs="Times New Roman"/>
          <w:i/>
          <w:sz w:val="24"/>
          <w:szCs w:val="24"/>
        </w:rPr>
        <w:t>(miejscowość, data)</w:t>
      </w:r>
    </w:p>
    <w:p w14:paraId="1DB91075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5FB90C81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59218CF3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729292E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6D7EF745" w14:textId="6BE2DF3E" w:rsidR="004C7909" w:rsidRPr="00E936AB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15249">
        <w:rPr>
          <w:rFonts w:cs="Times New Roman"/>
          <w:i/>
          <w:sz w:val="24"/>
          <w:szCs w:val="24"/>
        </w:rPr>
        <w:t>(nazwa, adres, NIP, e-mail Oferenta)</w:t>
      </w:r>
    </w:p>
    <w:p w14:paraId="556361D9" w14:textId="77777777" w:rsidR="00A350DE" w:rsidRPr="00A677E1" w:rsidRDefault="00A350DE" w:rsidP="00A350DE">
      <w:pPr>
        <w:autoSpaceDE w:val="0"/>
        <w:autoSpaceDN w:val="0"/>
        <w:adjustRightInd w:val="0"/>
        <w:spacing w:after="0" w:line="360" w:lineRule="auto"/>
        <w:ind w:left="7080"/>
        <w:rPr>
          <w:rFonts w:cstheme="minorHAnsi"/>
          <w:sz w:val="24"/>
          <w:szCs w:val="24"/>
        </w:rPr>
      </w:pPr>
      <w:r w:rsidRPr="00EE231B">
        <w:rPr>
          <w:rFonts w:cstheme="minorHAnsi"/>
          <w:sz w:val="24"/>
          <w:szCs w:val="24"/>
        </w:rPr>
        <w:t>CTN ROMUALD MOTYKA</w:t>
      </w:r>
    </w:p>
    <w:p w14:paraId="60ADA303" w14:textId="77777777" w:rsidR="00A350DE" w:rsidRPr="007B0E6E" w:rsidRDefault="00A350DE" w:rsidP="00A350DE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ul. </w:t>
      </w:r>
      <w:r>
        <w:rPr>
          <w:rFonts w:asciiTheme="minorHAnsi" w:hAnsiTheme="minorHAnsi" w:cstheme="minorHAnsi"/>
          <w:color w:val="auto"/>
        </w:rPr>
        <w:t>Górne Miasto 3A</w:t>
      </w:r>
    </w:p>
    <w:p w14:paraId="00539A7D" w14:textId="77777777" w:rsidR="00A350DE" w:rsidRPr="007B0E6E" w:rsidRDefault="00A350DE" w:rsidP="00A350DE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57-215 Srebrna Góra</w:t>
      </w:r>
    </w:p>
    <w:p w14:paraId="5A2E33CF" w14:textId="225A4C35" w:rsidR="004C7909" w:rsidRDefault="00A350DE" w:rsidP="00214A4F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NIP: </w:t>
      </w:r>
      <w:r>
        <w:rPr>
          <w:rFonts w:asciiTheme="minorHAnsi" w:hAnsiTheme="minorHAnsi" w:cstheme="minorHAnsi"/>
          <w:color w:val="auto"/>
        </w:rPr>
        <w:t>8871004531</w:t>
      </w:r>
    </w:p>
    <w:p w14:paraId="70F540B6" w14:textId="77777777" w:rsidR="001D3BCC" w:rsidRPr="00FE594C" w:rsidRDefault="001D3BCC" w:rsidP="001D3BCC">
      <w:pPr>
        <w:pStyle w:val="Default"/>
        <w:spacing w:line="360" w:lineRule="auto"/>
        <w:ind w:left="7080"/>
        <w:rPr>
          <w:rFonts w:cs="Times New Roman"/>
          <w:b/>
          <w:color w:val="FF0000"/>
        </w:rPr>
      </w:pPr>
    </w:p>
    <w:p w14:paraId="39866571" w14:textId="12B7A9C6" w:rsidR="004C7909" w:rsidRDefault="005F19D9" w:rsidP="004C7909">
      <w:pPr>
        <w:spacing w:after="0" w:line="36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POTWIERDZENIE SPECYFIKACJI</w:t>
      </w:r>
      <w:r w:rsidR="004C7909">
        <w:rPr>
          <w:rFonts w:cs="Times New Roman"/>
          <w:bCs/>
          <w:sz w:val="24"/>
          <w:szCs w:val="24"/>
        </w:rPr>
        <w:t>/OŚWIADCZENIE</w:t>
      </w:r>
    </w:p>
    <w:p w14:paraId="73EE6056" w14:textId="77777777" w:rsidR="004C7909" w:rsidRDefault="004C7909" w:rsidP="004C7909">
      <w:pPr>
        <w:spacing w:after="0" w:line="360" w:lineRule="auto"/>
        <w:jc w:val="center"/>
        <w:rPr>
          <w:rFonts w:cs="Times New Roman"/>
          <w:bCs/>
          <w:sz w:val="24"/>
          <w:szCs w:val="24"/>
        </w:rPr>
      </w:pPr>
    </w:p>
    <w:p w14:paraId="1AF2BD9A" w14:textId="68449FE2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1. Oferent oświadcza, iż proponowan</w:t>
      </w:r>
      <w:r w:rsidR="001D3BCC">
        <w:rPr>
          <w:rFonts w:cs="Times New Roman"/>
          <w:bCs/>
          <w:sz w:val="24"/>
          <w:szCs w:val="24"/>
        </w:rPr>
        <w:t>a</w:t>
      </w:r>
      <w:r>
        <w:rPr>
          <w:rFonts w:cs="Times New Roman"/>
          <w:bCs/>
          <w:sz w:val="24"/>
          <w:szCs w:val="24"/>
        </w:rPr>
        <w:t xml:space="preserve"> </w:t>
      </w:r>
      <w:r w:rsidR="001D3BCC">
        <w:rPr>
          <w:rFonts w:cs="Times New Roman"/>
          <w:bCs/>
          <w:sz w:val="24"/>
          <w:szCs w:val="24"/>
        </w:rPr>
        <w:t>usługa wraz ze sprzętem posiada</w:t>
      </w:r>
      <w:r>
        <w:rPr>
          <w:rFonts w:cs="Times New Roman"/>
          <w:bCs/>
          <w:sz w:val="24"/>
          <w:szCs w:val="24"/>
        </w:rPr>
        <w:t xml:space="preserve"> wymaganą specyfikacj</w:t>
      </w:r>
      <w:r w:rsidR="001D3BCC">
        <w:rPr>
          <w:rFonts w:cs="Times New Roman"/>
          <w:bCs/>
          <w:sz w:val="24"/>
          <w:szCs w:val="24"/>
        </w:rPr>
        <w:t>ę</w:t>
      </w:r>
      <w:r>
        <w:rPr>
          <w:rFonts w:cs="Times New Roman"/>
          <w:bCs/>
          <w:sz w:val="24"/>
          <w:szCs w:val="24"/>
        </w:rPr>
        <w:t xml:space="preserve"> minimalną/maksymalną</w:t>
      </w:r>
      <w:r w:rsidR="00E936AB">
        <w:rPr>
          <w:rFonts w:cs="Times New Roman"/>
          <w:bCs/>
          <w:sz w:val="24"/>
          <w:szCs w:val="24"/>
        </w:rPr>
        <w:t xml:space="preserve"> oraz wykona wszystkie </w:t>
      </w:r>
      <w:r w:rsidR="001D3BCC">
        <w:rPr>
          <w:rFonts w:cs="Times New Roman"/>
          <w:bCs/>
          <w:sz w:val="24"/>
          <w:szCs w:val="24"/>
        </w:rPr>
        <w:t xml:space="preserve">składowe </w:t>
      </w:r>
      <w:r w:rsidR="00E936AB">
        <w:rPr>
          <w:rFonts w:cs="Times New Roman"/>
          <w:bCs/>
          <w:sz w:val="24"/>
          <w:szCs w:val="24"/>
        </w:rPr>
        <w:t>usługi zakładane w zapytaniu.</w:t>
      </w:r>
    </w:p>
    <w:p w14:paraId="3E6F97CC" w14:textId="77777777" w:rsidR="004C7909" w:rsidRDefault="004C7909" w:rsidP="00E936AB">
      <w:pPr>
        <w:spacing w:after="0" w:line="360" w:lineRule="auto"/>
        <w:rPr>
          <w:rFonts w:cs="Times New Roman"/>
          <w:bCs/>
          <w:sz w:val="24"/>
          <w:szCs w:val="24"/>
        </w:rPr>
      </w:pPr>
    </w:p>
    <w:p w14:paraId="7D37C044" w14:textId="77777777" w:rsidR="00A350DE" w:rsidRDefault="00A350DE" w:rsidP="00E936AB">
      <w:pPr>
        <w:spacing w:after="0" w:line="360" w:lineRule="auto"/>
        <w:rPr>
          <w:rFonts w:cs="Times New Roman"/>
          <w:bCs/>
          <w:sz w:val="24"/>
          <w:szCs w:val="24"/>
        </w:rPr>
      </w:pPr>
    </w:p>
    <w:p w14:paraId="2B57C7C8" w14:textId="77777777" w:rsidR="004C7909" w:rsidRPr="00A32336" w:rsidRDefault="004C7909" w:rsidP="004C7909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………….</w:t>
      </w:r>
      <w:r w:rsidRPr="00A32336">
        <w:rPr>
          <w:rFonts w:cs="Times New Roman"/>
          <w:sz w:val="24"/>
          <w:szCs w:val="24"/>
        </w:rPr>
        <w:t>…………….</w:t>
      </w:r>
    </w:p>
    <w:p w14:paraId="688D87F0" w14:textId="0865E109" w:rsidR="00E936AB" w:rsidRDefault="004C7909" w:rsidP="00E936AB">
      <w:pPr>
        <w:spacing w:after="0" w:line="36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p w14:paraId="4776D79B" w14:textId="77777777" w:rsidR="00E936AB" w:rsidRDefault="00E936AB" w:rsidP="00E936AB">
      <w:pPr>
        <w:spacing w:after="0" w:line="360" w:lineRule="auto"/>
        <w:jc w:val="center"/>
        <w:rPr>
          <w:rFonts w:cs="Times New Roman"/>
          <w:sz w:val="24"/>
          <w:szCs w:val="24"/>
        </w:rPr>
      </w:pPr>
    </w:p>
    <w:p w14:paraId="22B36E31" w14:textId="39B09B82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2. Określenie warunków/specyfikacji/parametrów mierzalnych</w:t>
      </w:r>
      <w:r w:rsidR="00E936AB">
        <w:rPr>
          <w:rFonts w:cs="Times New Roman"/>
          <w:bCs/>
          <w:sz w:val="24"/>
          <w:szCs w:val="24"/>
        </w:rPr>
        <w:t xml:space="preserve"> oraz usług:</w:t>
      </w:r>
    </w:p>
    <w:p w14:paraId="58971236" w14:textId="2147F4B4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</w:p>
    <w:tbl>
      <w:tblPr>
        <w:tblStyle w:val="Tabela-Siatka"/>
        <w:tblW w:w="10768" w:type="dxa"/>
        <w:tblLook w:val="04A0" w:firstRow="1" w:lastRow="0" w:firstColumn="1" w:lastColumn="0" w:noHBand="0" w:noVBand="1"/>
      </w:tblPr>
      <w:tblGrid>
        <w:gridCol w:w="6514"/>
        <w:gridCol w:w="1536"/>
        <w:gridCol w:w="2718"/>
      </w:tblGrid>
      <w:tr w:rsidR="00B968BC" w:rsidRPr="0067447E" w14:paraId="5F7A1D7D" w14:textId="142E31A1" w:rsidTr="00FD0412">
        <w:tc>
          <w:tcPr>
            <w:tcW w:w="6296" w:type="dxa"/>
          </w:tcPr>
          <w:p w14:paraId="21E4BED8" w14:textId="77777777" w:rsidR="00E936AB" w:rsidRPr="0067447E" w:rsidRDefault="00E936AB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7447E">
              <w:rPr>
                <w:rFonts w:cstheme="minorHAnsi"/>
                <w:b/>
                <w:bCs/>
                <w:sz w:val="24"/>
                <w:szCs w:val="24"/>
              </w:rPr>
              <w:t>Usługa obejmuje:</w:t>
            </w:r>
          </w:p>
        </w:tc>
        <w:tc>
          <w:tcPr>
            <w:tcW w:w="1536" w:type="dxa"/>
          </w:tcPr>
          <w:p w14:paraId="2EC3781E" w14:textId="5DDE45F8" w:rsidR="00E936AB" w:rsidRPr="00E936AB" w:rsidRDefault="00E936AB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36AB">
              <w:rPr>
                <w:rFonts w:cs="Times New Roman"/>
                <w:sz w:val="24"/>
                <w:szCs w:val="24"/>
              </w:rPr>
              <w:t>SPEŁNIA WYMAGANIA SPECYFIKACJI (TAK/NIE)</w:t>
            </w:r>
          </w:p>
        </w:tc>
        <w:tc>
          <w:tcPr>
            <w:tcW w:w="2936" w:type="dxa"/>
          </w:tcPr>
          <w:p w14:paraId="4B329F2A" w14:textId="1FA71023" w:rsidR="00E936AB" w:rsidRPr="00E936AB" w:rsidRDefault="00E936AB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36AB">
              <w:rPr>
                <w:rFonts w:cs="Times New Roman"/>
                <w:sz w:val="24"/>
                <w:szCs w:val="24"/>
              </w:rPr>
              <w:t xml:space="preserve">W przypadku zaznaczenia NIE poniżej </w:t>
            </w:r>
            <w:r>
              <w:rPr>
                <w:rFonts w:cs="Times New Roman"/>
                <w:sz w:val="24"/>
                <w:szCs w:val="24"/>
              </w:rPr>
              <w:t>opcja proponowana prze Oferenta</w:t>
            </w:r>
          </w:p>
        </w:tc>
      </w:tr>
      <w:tr w:rsidR="00B968BC" w:rsidRPr="0067447E" w14:paraId="76F44BBE" w14:textId="77777777" w:rsidTr="00FD0412">
        <w:tc>
          <w:tcPr>
            <w:tcW w:w="6296" w:type="dxa"/>
          </w:tcPr>
          <w:p w14:paraId="56209F3A" w14:textId="77777777" w:rsidR="00A350DE" w:rsidRDefault="003F2BC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KOSZT</w:t>
            </w:r>
            <w:r w:rsidR="00A350DE">
              <w:rPr>
                <w:rFonts w:cstheme="minorHAnsi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–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Zakup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zbiorczych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środków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trwałych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do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ŚWIADCZENIA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USŁUG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F2BCE">
              <w:rPr>
                <w:rFonts w:cstheme="minorHAnsi"/>
                <w:b/>
                <w:bCs/>
                <w:sz w:val="24"/>
                <w:szCs w:val="24"/>
              </w:rPr>
              <w:t>CATERINGOWYCH</w:t>
            </w:r>
          </w:p>
          <w:p w14:paraId="4B416719" w14:textId="54D84087" w:rsidR="00456C96" w:rsidRPr="0067447E" w:rsidRDefault="00456C96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6" w:type="dxa"/>
          </w:tcPr>
          <w:p w14:paraId="271CFB4E" w14:textId="0DBB0067" w:rsidR="00A350DE" w:rsidRPr="00E936AB" w:rsidRDefault="00A350DE" w:rsidP="00A350DE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936" w:type="dxa"/>
          </w:tcPr>
          <w:p w14:paraId="1DE1B548" w14:textId="77777777" w:rsidR="00A350DE" w:rsidRPr="00E936AB" w:rsidRDefault="00A350D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968BC" w:rsidRPr="0067447E" w14:paraId="68479FCA" w14:textId="7010F881" w:rsidTr="00FD0412">
        <w:tc>
          <w:tcPr>
            <w:tcW w:w="6296" w:type="dxa"/>
          </w:tcPr>
          <w:p w14:paraId="6A0468C1" w14:textId="5FFAD018" w:rsidR="00A350DE" w:rsidRDefault="003F2BC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SPECYFIKACJA:</w:t>
            </w:r>
          </w:p>
          <w:p w14:paraId="259243A8" w14:textId="0BB429B0" w:rsidR="00A350DE" w:rsidRDefault="003F2BCE" w:rsidP="0097563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Piec konwekcyjno - mikrofalowy 3,5 kW</w:t>
            </w:r>
            <w:r w:rsidR="0097563D">
              <w:t>,</w:t>
            </w:r>
            <w:r w:rsidR="00021292">
              <w:t xml:space="preserve"> </w:t>
            </w:r>
            <w:r w:rsidR="0097563D">
              <w:t>stal nierdzewna, z</w:t>
            </w:r>
            <w:r w:rsidR="0097563D" w:rsidRPr="0097563D">
              <w:t>akres temperatury: 25-280°C</w:t>
            </w:r>
            <w:r w:rsidR="0097563D">
              <w:t>, z</w:t>
            </w:r>
            <w:r w:rsidR="0097563D" w:rsidRPr="0097563D">
              <w:t>akres ustawienia mikrofal: 0-100%</w:t>
            </w:r>
            <w:r w:rsidR="0097563D">
              <w:t>, n</w:t>
            </w:r>
            <w:r w:rsidR="0097563D" w:rsidRPr="0097563D">
              <w:t>admuch gorącym powietrzem: 10 poziomów</w:t>
            </w:r>
            <w:r w:rsidR="0097563D">
              <w:t>, w</w:t>
            </w:r>
            <w:r w:rsidR="0097563D" w:rsidRPr="0097563D">
              <w:t>spółczynnik szczelności: IPX3</w:t>
            </w:r>
            <w:r>
              <w:t xml:space="preserve"> – 1 szt.</w:t>
            </w:r>
          </w:p>
          <w:p w14:paraId="1632F9B3" w14:textId="27FC3891" w:rsidR="003F2BCE" w:rsidRPr="0097563D" w:rsidRDefault="003F2BCE" w:rsidP="00A350DE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Taboret gazowy pojedynczy</w:t>
            </w:r>
            <w:r w:rsidR="00456C96">
              <w:t xml:space="preserve"> </w:t>
            </w:r>
            <w:r w:rsidRPr="0097563D">
              <w:t>14,0 kW</w:t>
            </w:r>
            <w:r w:rsidR="0097563D" w:rsidRPr="0097563D">
              <w:t>, waga max. 35 kg.</w:t>
            </w:r>
            <w:r w:rsidR="00021292" w:rsidRPr="00021292">
              <w:t>,  zabezpieczenie przeciw wypływowe, w zestawie dysze na gaz na gaz ziemny i propan-butan), płomień pilotowy palników</w:t>
            </w:r>
            <w:r w:rsidR="0059177F">
              <w:t xml:space="preserve"> </w:t>
            </w:r>
            <w:r w:rsidRPr="0097563D">
              <w:t>- 3 szt.</w:t>
            </w:r>
          </w:p>
          <w:p w14:paraId="06D9CFC2" w14:textId="5CCC20DE" w:rsidR="003F2BCE" w:rsidRPr="0097563D" w:rsidRDefault="003F2BCE" w:rsidP="00A350DE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Garnek wysoki</w:t>
            </w:r>
            <w:r w:rsidR="00021292">
              <w:rPr>
                <w:b/>
                <w:bCs/>
              </w:rPr>
              <w:t xml:space="preserve"> z</w:t>
            </w:r>
            <w:r w:rsidRPr="00456C96">
              <w:rPr>
                <w:b/>
                <w:bCs/>
              </w:rPr>
              <w:t> </w:t>
            </w:r>
            <w:r w:rsidR="0097563D" w:rsidRPr="00456C96">
              <w:rPr>
                <w:b/>
                <w:bCs/>
              </w:rPr>
              <w:t>pokrywką,</w:t>
            </w:r>
            <w:r w:rsidR="0097563D" w:rsidRPr="0097563D">
              <w:t xml:space="preserve"> stalowy, Ø 500 mm, </w:t>
            </w:r>
            <w:r w:rsidRPr="0097563D">
              <w:t>98 L</w:t>
            </w:r>
            <w:r w:rsidR="00021292">
              <w:t xml:space="preserve">, </w:t>
            </w:r>
            <w:r w:rsidR="00021292" w:rsidRPr="00021292">
              <w:t xml:space="preserve">nitowany uchwyty, dno typu „sandwich" min. stal nierdzewna/aluminium – 4,0mm /stal nierdzewna 18/0 – 0,8mm, grubość ścianki min 0,8 mm </w:t>
            </w:r>
            <w:r w:rsidRPr="0097563D">
              <w:t>- 2 szt.</w:t>
            </w:r>
          </w:p>
          <w:p w14:paraId="4D180F87" w14:textId="5D5A2879" w:rsidR="003F2BCE" w:rsidRPr="0097563D" w:rsidRDefault="0097563D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W</w:t>
            </w:r>
            <w:r w:rsidR="003F2BCE" w:rsidRPr="00456C96">
              <w:rPr>
                <w:rFonts w:cstheme="minorHAnsi"/>
                <w:b/>
                <w:bCs/>
                <w:color w:val="000000" w:themeColor="text1"/>
              </w:rPr>
              <w:t>itryna chłodnicza lakierowana 361 l</w:t>
            </w:r>
            <w:r w:rsidR="003F2BCE" w:rsidRPr="0097563D">
              <w:rPr>
                <w:rFonts w:cstheme="minorHAnsi"/>
                <w:color w:val="000000" w:themeColor="text1"/>
              </w:rPr>
              <w:t>.</w:t>
            </w:r>
            <w:r w:rsidRPr="0097563D">
              <w:rPr>
                <w:rFonts w:cstheme="minorHAnsi"/>
                <w:color w:val="000000" w:themeColor="text1"/>
              </w:rPr>
              <w:t xml:space="preserve">, </w:t>
            </w:r>
            <w:r w:rsidR="00021292" w:rsidRPr="00021292">
              <w:t xml:space="preserve">drzwi przeszklone, zamek na klucz, automatyczne odszranianie, zmiana kierunku otwierania drzwi, </w:t>
            </w:r>
            <w:r w:rsidRPr="0097563D">
              <w:rPr>
                <w:rFonts w:cstheme="minorHAnsi"/>
                <w:color w:val="000000" w:themeColor="text1"/>
              </w:rPr>
              <w:t>3 półki w komplecie 502x440 mm, elektroniczny sterownik z wyświetlaczem temperatury</w:t>
            </w:r>
            <w:r w:rsidR="003F2BCE" w:rsidRPr="0097563D">
              <w:rPr>
                <w:rFonts w:cstheme="minorHAnsi"/>
                <w:color w:val="000000" w:themeColor="text1"/>
              </w:rPr>
              <w:t xml:space="preserve"> - 1 szt.</w:t>
            </w:r>
          </w:p>
          <w:p w14:paraId="2E58E062" w14:textId="7DA77322" w:rsidR="003F2BCE" w:rsidRPr="003F2BCE" w:rsidRDefault="0097563D" w:rsidP="003F2B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Ga</w:t>
            </w:r>
            <w:r w:rsidR="003F2BCE" w:rsidRPr="003F2BCE">
              <w:rPr>
                <w:rFonts w:cstheme="minorHAnsi"/>
                <w:b/>
                <w:bCs/>
                <w:color w:val="000000" w:themeColor="text1"/>
              </w:rPr>
              <w:t>rnek</w:t>
            </w:r>
            <w:r w:rsidR="003F2BCE" w:rsidRPr="00456C96">
              <w:rPr>
                <w:rFonts w:cstheme="minorHAnsi"/>
                <w:b/>
                <w:bCs/>
                <w:color w:val="000000" w:themeColor="text1"/>
              </w:rPr>
              <w:t xml:space="preserve"> wysoki z pokrywką</w:t>
            </w:r>
            <w:r w:rsidR="003F2BCE" w:rsidRPr="003F2BCE">
              <w:rPr>
                <w:rFonts w:cstheme="minorHAnsi"/>
                <w:color w:val="000000" w:themeColor="text1"/>
              </w:rPr>
              <w:t>, stalowy, Ø 400 mm 50,3l</w:t>
            </w:r>
            <w:r w:rsidR="00021292">
              <w:rPr>
                <w:rFonts w:cstheme="minorHAnsi"/>
                <w:color w:val="000000" w:themeColor="text1"/>
              </w:rPr>
              <w:t xml:space="preserve">, </w:t>
            </w:r>
            <w:r w:rsidR="00021292" w:rsidRPr="00021292">
              <w:t>nitowany uchwyty, dno typu „sandwich" min. stal nierdzewna/aluminium – 4,0mm /stal nierdzewna 18/0 – 0,8mm, grubość ścianki min 0,8 mm</w:t>
            </w:r>
            <w:r w:rsidR="003F2BCE" w:rsidRPr="00021292">
              <w:rPr>
                <w:rFonts w:cstheme="minorHAnsi"/>
              </w:rPr>
              <w:t xml:space="preserve"> </w:t>
            </w:r>
            <w:r w:rsidR="003F2BCE" w:rsidRPr="003F2BCE">
              <w:rPr>
                <w:rFonts w:cstheme="minorHAnsi"/>
                <w:color w:val="000000" w:themeColor="text1"/>
              </w:rPr>
              <w:t>– 2 szt.</w:t>
            </w:r>
          </w:p>
          <w:p w14:paraId="4127E1FC" w14:textId="0FDCBB1C" w:rsidR="003F2BCE" w:rsidRPr="0097563D" w:rsidRDefault="003F2BCE" w:rsidP="003F2B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Urządzenie multifunkcyjne</w:t>
            </w:r>
            <w:r w:rsidRPr="003F2BCE">
              <w:rPr>
                <w:rFonts w:cstheme="minorHAnsi"/>
                <w:color w:val="000000" w:themeColor="text1"/>
              </w:rPr>
              <w:t xml:space="preserve"> - 4,5 L, 230V/1400W, </w:t>
            </w:r>
            <w:r w:rsidR="00021292" w:rsidRPr="00021292">
              <w:t xml:space="preserve">robot kuchenny umożliwiający: gotowanie automatyczne z wgranych przepisów i ręczne, zintegrowana waga kwarcowa, 2 pokrywy: do obróbki ciepłej i do chłodnych potraw, w zestawie: mieszadło do potraw gotowanych, ubijaczka, kosz do gotowania na parze, 2-funkcyjna tarcza siekająca z możliwością plastrowania </w:t>
            </w:r>
            <w:r w:rsidRPr="0097563D">
              <w:rPr>
                <w:rFonts w:cstheme="minorHAnsi"/>
                <w:color w:val="000000" w:themeColor="text1"/>
              </w:rPr>
              <w:t>– 1 szt.</w:t>
            </w:r>
          </w:p>
          <w:p w14:paraId="00E4D5B5" w14:textId="776ABF44" w:rsidR="00021292" w:rsidRDefault="0097563D" w:rsidP="009756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Z</w:t>
            </w:r>
            <w:r w:rsidR="003F2BCE" w:rsidRPr="003F2BCE">
              <w:rPr>
                <w:rFonts w:cstheme="minorHAnsi"/>
                <w:b/>
                <w:bCs/>
                <w:color w:val="000000" w:themeColor="text1"/>
              </w:rPr>
              <w:t>mywarka</w:t>
            </w:r>
            <w:r w:rsidR="00021292">
              <w:rPr>
                <w:rFonts w:cstheme="minorHAnsi"/>
                <w:b/>
                <w:bCs/>
                <w:color w:val="000000" w:themeColor="text1"/>
              </w:rPr>
              <w:t xml:space="preserve"> kapturowa</w:t>
            </w:r>
            <w:r w:rsidR="003F2BCE" w:rsidRPr="003F2BCE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r w:rsidR="00021292" w:rsidRPr="00021292">
              <w:t>panel dotykowy/wyświetlacz:  info.  o przebiegu cyklu, temperaturze w komorze oraz bojlerze, co najmniej  20 gotowych programów mycia, w tym 4 szybkiego dostępu, system autodiagnostyki, cykl mycia 50-60°C, wyparzanie 80-90°C, cykl samooczyszczania na koniec dnia, potrójny filtr, możliwość podłączenia zdalnego sterowania (WiFi), funkcja automatycznego wyłącza grzałki, kiedy zmywarka nie jest używana</w:t>
            </w:r>
            <w:r w:rsidR="00021292">
              <w:t xml:space="preserve">, </w:t>
            </w:r>
            <w:r w:rsidR="00021292" w:rsidRPr="0097563D">
              <w:rPr>
                <w:rFonts w:cstheme="minorHAnsi"/>
                <w:color w:val="000000" w:themeColor="text1"/>
              </w:rPr>
              <w:t xml:space="preserve">(pompa spustowa, maksymalna wysokość garnków </w:t>
            </w:r>
            <w:r w:rsidR="00021292">
              <w:rPr>
                <w:rFonts w:cstheme="minorHAnsi"/>
                <w:color w:val="000000" w:themeColor="text1"/>
              </w:rPr>
              <w:t xml:space="preserve">do </w:t>
            </w:r>
            <w:r w:rsidR="00021292" w:rsidRPr="0097563D">
              <w:rPr>
                <w:rFonts w:cstheme="minorHAnsi"/>
                <w:color w:val="000000" w:themeColor="text1"/>
              </w:rPr>
              <w:t>[mm]: 390, możliwość mycia pojemników: GN 1/1</w:t>
            </w:r>
            <w:r w:rsidR="00021292">
              <w:rPr>
                <w:rFonts w:cstheme="minorHAnsi"/>
                <w:color w:val="000000" w:themeColor="text1"/>
              </w:rPr>
              <w:t xml:space="preserve"> – 1 szt.</w:t>
            </w:r>
          </w:p>
          <w:p w14:paraId="73874835" w14:textId="2B96978D" w:rsidR="0097563D" w:rsidRDefault="00021292" w:rsidP="009756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Stół załadowczy</w:t>
            </w:r>
            <w:r w:rsidR="003F2BCE" w:rsidRPr="0097563D">
              <w:rPr>
                <w:rFonts w:cstheme="minorHAnsi"/>
                <w:color w:val="000000" w:themeColor="text1"/>
              </w:rPr>
              <w:t xml:space="preserve"> lewy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="003F2BCE" w:rsidRPr="0097563D">
              <w:rPr>
                <w:rFonts w:cstheme="minorHAnsi"/>
                <w:color w:val="000000" w:themeColor="text1"/>
              </w:rPr>
              <w:t>1700x700</w:t>
            </w:r>
            <w:r>
              <w:rPr>
                <w:rFonts w:cstheme="minorHAnsi"/>
                <w:color w:val="000000" w:themeColor="text1"/>
              </w:rPr>
              <w:t xml:space="preserve"> (ze zlewem i baterią prysznicową)</w:t>
            </w:r>
            <w:r w:rsidR="003F2BCE" w:rsidRPr="0097563D">
              <w:rPr>
                <w:rFonts w:cstheme="minorHAnsi"/>
                <w:color w:val="000000" w:themeColor="text1"/>
              </w:rPr>
              <w:t xml:space="preserve"> + stół wyładowczy prawy 700x600 </w:t>
            </w:r>
          </w:p>
          <w:p w14:paraId="1953927F" w14:textId="6BE5E32D" w:rsidR="0097563D" w:rsidRDefault="0097563D" w:rsidP="0097563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Bemar 4 komory</w:t>
            </w:r>
            <w:r w:rsidRPr="00232D49">
              <w:t>, elektryczny</w:t>
            </w:r>
            <w:r>
              <w:t xml:space="preserve">, moc min. 2,8 kW, </w:t>
            </w:r>
            <w:r w:rsidRPr="0097563D">
              <w:t xml:space="preserve">wanna na GN 1/1 o głębokości </w:t>
            </w:r>
            <w:r>
              <w:t xml:space="preserve">min. </w:t>
            </w:r>
            <w:r w:rsidRPr="0097563D">
              <w:t>200 mm</w:t>
            </w:r>
            <w:r w:rsidR="00021292">
              <w:t>,</w:t>
            </w:r>
            <w:r w:rsidR="00021292" w:rsidRPr="00021292">
              <w:t xml:space="preserve"> tłoczone komory; niezależne sterowanie komór; kran spustowy do każdej komory; grzałka zamontowana pod wzmocnionym dnem komory; regulacja temperatury: 30-90°C</w:t>
            </w:r>
            <w:r w:rsidRPr="00021292">
              <w:t> </w:t>
            </w:r>
            <w:r w:rsidRPr="00232D49">
              <w:t>- 2 szt</w:t>
            </w:r>
            <w:r>
              <w:t>.</w:t>
            </w:r>
          </w:p>
          <w:p w14:paraId="7AA6D434" w14:textId="768C26C4" w:rsidR="00757701" w:rsidRDefault="00757701" w:rsidP="0097563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Automat przelewowy warnik</w:t>
            </w:r>
            <w:r w:rsidRPr="00232D49">
              <w:t xml:space="preserve"> z przyłączem do wody - 10 l</w:t>
            </w:r>
            <w:r>
              <w:t>, moc min. 2,5 kW – 1 szt.</w:t>
            </w:r>
          </w:p>
          <w:p w14:paraId="27CFD642" w14:textId="5F62F4CF" w:rsidR="00757701" w:rsidRDefault="00757701" w:rsidP="0097563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Lodówka z zamrażarką pod zabudowę</w:t>
            </w:r>
            <w:r>
              <w:t xml:space="preserve"> – poj. min. 224 l  chłodziarka, </w:t>
            </w:r>
            <w:r w:rsidR="00021292" w:rsidRPr="00021292">
              <w:rPr>
                <w:rFonts w:cstheme="minorHAnsi"/>
              </w:rPr>
              <w:t xml:space="preserve">wymiary szer. nie więcej niż 54cm, głęb. do 55cm, możliwość przełączenia zamrażalnika na funkcje chłodziarki, niezależne obiegi w komorach, bezszronowa (funkcja No Frost lub inna równoważna),  funkcja AI oszczędności energii z możliwością podłączenia aplikacji,  roczne zużycie prądu nie więcej niż </w:t>
            </w:r>
            <w:r w:rsidR="00021292" w:rsidRPr="00021292">
              <w:rPr>
                <w:rFonts w:eastAsia="Times New Roman" w:cstheme="minorHAnsi"/>
                <w:lang w:eastAsia="pl-PL"/>
              </w:rPr>
              <w:t xml:space="preserve">229 kWh, </w:t>
            </w:r>
            <w:r>
              <w:t>74l zamrażarka</w:t>
            </w:r>
            <w:r w:rsidR="00021292">
              <w:t xml:space="preserve"> dolna</w:t>
            </w:r>
            <w:r>
              <w:t>, poziom hałasu max. 35 dB, sterowanie elektroniczne, alarm otwartych drzwi,  oświetlenie LED – 2 szt.</w:t>
            </w:r>
          </w:p>
          <w:p w14:paraId="249F5C4E" w14:textId="2C8F3E33" w:rsidR="00757701" w:rsidRPr="0097563D" w:rsidRDefault="00757701" w:rsidP="0097563D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456C96">
              <w:rPr>
                <w:b/>
                <w:bCs/>
              </w:rPr>
              <w:t>Lodówka wolnostojąca</w:t>
            </w:r>
            <w:r>
              <w:t xml:space="preserve"> poj. min. 390 l </w:t>
            </w:r>
            <w:r w:rsidR="00021292">
              <w:t xml:space="preserve">tylko </w:t>
            </w:r>
            <w:r>
              <w:t xml:space="preserve">chłodziarka, max. </w:t>
            </w:r>
            <w:r w:rsidR="00021292">
              <w:t>p</w:t>
            </w:r>
            <w:r>
              <w:t xml:space="preserve">oziom hałasu 40 dB, szybkie chłodzenie, </w:t>
            </w:r>
            <w:r w:rsidR="00021292" w:rsidRPr="00021292">
              <w:t xml:space="preserve">wymuszona cyrkulacja powietrza, rozprowadzanie  powietrza równomiernie na poziomie każdej półki, </w:t>
            </w:r>
            <w:r w:rsidRPr="00021292">
              <w:t xml:space="preserve">zmiana kierunku otwierania drzwi, </w:t>
            </w:r>
            <w:r w:rsidR="00021292" w:rsidRPr="00021292">
              <w:t>poziom hałasu max. 40 dB, roczne zużycie prądu do 121 kWh, na urządzeniu nie zostają odciski palców (funkcja antyfingerprint lub równoważna) srebrna, półki z bezpiecznego szkła</w:t>
            </w:r>
            <w:r w:rsidRPr="00021292">
              <w:t xml:space="preserve">, </w:t>
            </w:r>
            <w:r>
              <w:t>szerokość max. z otwartymi drzwiami 59,5 cm – 1 szt.</w:t>
            </w:r>
          </w:p>
          <w:p w14:paraId="4B88C7C2" w14:textId="5734C399" w:rsidR="0097563D" w:rsidRDefault="00757701" w:rsidP="00757701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 w:themeColor="text1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Zamrażarka</w:t>
            </w:r>
            <w:r>
              <w:rPr>
                <w:rFonts w:cstheme="minorHAnsi"/>
                <w:color w:val="000000" w:themeColor="text1"/>
              </w:rPr>
              <w:t xml:space="preserve"> szufladowa poj. min. 278 l, </w:t>
            </w:r>
            <w:r w:rsidR="00021292" w:rsidRPr="00021292">
              <w:t xml:space="preserve">wymiary (SxG) [cm]: nie więcej niż 59.7 x  nie więcej niż 67.5, roczne zużycie prądu do 199 kWh, emisja hałasu nie więcej niż 36 dB, bezszronowa(funkcja No Frost lub inna równoważna), możliwość podłączenia przez internet z aplikacją sterującą, 7 szuflad i taca do zamrażania, min. 2 kółka transportowe, </w:t>
            </w:r>
            <w:r>
              <w:rPr>
                <w:rFonts w:cstheme="minorHAnsi"/>
                <w:color w:val="000000" w:themeColor="text1"/>
              </w:rPr>
              <w:t>alarm braku zasilania, alarm otwartych drzwi – 1 szt.</w:t>
            </w:r>
          </w:p>
          <w:p w14:paraId="27FACD57" w14:textId="6B851E92" w:rsidR="00757701" w:rsidRPr="0097563D" w:rsidRDefault="00757701" w:rsidP="00757701">
            <w:pPr>
              <w:autoSpaceDE w:val="0"/>
              <w:autoSpaceDN w:val="0"/>
              <w:adjustRightInd w:val="0"/>
              <w:spacing w:line="360" w:lineRule="auto"/>
            </w:pPr>
            <w:r w:rsidRPr="00456C96">
              <w:rPr>
                <w:rFonts w:cstheme="minorHAnsi"/>
                <w:b/>
                <w:bCs/>
                <w:color w:val="000000" w:themeColor="text1"/>
              </w:rPr>
              <w:t>Krzesła cateringowe</w:t>
            </w:r>
            <w:r>
              <w:rPr>
                <w:rFonts w:cstheme="minorHAnsi"/>
                <w:color w:val="000000" w:themeColor="text1"/>
              </w:rPr>
              <w:t xml:space="preserve"> s</w:t>
            </w:r>
            <w:r w:rsidRPr="00232D49">
              <w:t xml:space="preserve">telaż z metalowej giętej rurki metalowej, z podłokietnikami z rurki metalowej, malowanej proszkowo </w:t>
            </w:r>
            <w:r>
              <w:t>–</w:t>
            </w:r>
            <w:r w:rsidRPr="00232D49">
              <w:t xml:space="preserve"> kolor</w:t>
            </w:r>
            <w:r>
              <w:t xml:space="preserve"> </w:t>
            </w:r>
            <w:r w:rsidRPr="00232D49">
              <w:t>czarny</w:t>
            </w:r>
            <w:r>
              <w:t>, s</w:t>
            </w:r>
            <w:r w:rsidRPr="00232D49">
              <w:t>iedzisko - podwójny splot technorattanu - kolor brązowy</w:t>
            </w:r>
            <w:r w:rsidR="00021292">
              <w:t xml:space="preserve">, </w:t>
            </w:r>
            <w:r w:rsidR="00021292" w:rsidRPr="00021292">
              <w:t>wymiary: długość [cm] max. 62, szerokość [cm] max. 52.5, wysokość [cm]max 73</w:t>
            </w:r>
            <w:r w:rsidR="00021292">
              <w:t xml:space="preserve"> - 300 szt.</w:t>
            </w:r>
          </w:p>
          <w:p w14:paraId="6ACA2703" w14:textId="6F26C730" w:rsidR="003F2BCE" w:rsidRPr="003F2BCE" w:rsidRDefault="00757701" w:rsidP="00456C96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56C9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Stoły cateringowe</w:t>
            </w:r>
            <w:r w:rsidRPr="00232D49">
              <w:t xml:space="preserve"> ze składanymi nóżkami</w:t>
            </w:r>
            <w:r w:rsidR="00456C96">
              <w:t xml:space="preserve">, </w:t>
            </w:r>
            <w:r w:rsidR="00456C96" w:rsidRPr="00232D49">
              <w:t>wymiar blatu</w:t>
            </w:r>
            <w:r w:rsidR="00456C96">
              <w:t xml:space="preserve"> min.</w:t>
            </w:r>
            <w:r w:rsidR="00456C96" w:rsidRPr="00232D49">
              <w:t xml:space="preserve"> 70x180 cm, grubość 24 mm, drewniany (sosna europejska  lub świerk) drewno z certyfikatem FSC, kolor brązowy</w:t>
            </w:r>
            <w:r w:rsidR="00456C96">
              <w:t xml:space="preserve"> </w:t>
            </w:r>
            <w:r w:rsidR="00456C96" w:rsidRPr="00232D49">
              <w:t>- dąb, blaty stołów i siedziska ławek wykonane z litych listew</w:t>
            </w:r>
            <w:r w:rsidR="00456C96">
              <w:t xml:space="preserve">, </w:t>
            </w:r>
            <w:r w:rsidR="00456C96" w:rsidRPr="00232D49">
              <w:t>brak łączenia listew na długość, wypadające sęki flekowane, zamek stelaża, śruby i</w:t>
            </w:r>
            <w:r w:rsidR="00456C96">
              <w:t xml:space="preserve"> </w:t>
            </w:r>
            <w:r w:rsidR="00456C96" w:rsidRPr="00232D49">
              <w:t>nakrętki  ocynkowane, śruby samokątrujace.</w:t>
            </w:r>
            <w:r w:rsidR="00456C96" w:rsidRPr="00232D49">
              <w:br/>
              <w:t>Lakierowanie i impregnacja</w:t>
            </w:r>
            <w:r w:rsidR="00456C96" w:rsidRPr="00232D49">
              <w:br/>
              <w:t>GÓRNA POWIERZCHNIA I KRAWĘDZIE:</w:t>
            </w:r>
            <w:r w:rsidR="00456C96" w:rsidRPr="00232D49">
              <w:br/>
              <w:t>1x warstwa impregnatu bezbarwnego</w:t>
            </w:r>
            <w:r w:rsidR="00456C96" w:rsidRPr="00232D49">
              <w:br/>
              <w:t>2x warstwa lakieru bezbarwnego</w:t>
            </w:r>
            <w:r w:rsidR="00456C96" w:rsidRPr="00232D49">
              <w:br/>
              <w:t>DOLNA POWIERZCHNIA:</w:t>
            </w:r>
            <w:r w:rsidR="00456C96" w:rsidRPr="00232D49">
              <w:br/>
              <w:t>2x warstwa lakieru bezbarwnego</w:t>
            </w:r>
            <w:r w:rsidR="00456C96" w:rsidRPr="00232D49">
              <w:br/>
              <w:t>STELAŻ (nóżki), składane, zapinane na zatrzaski do transportu i składowania. Kolor czarny, malowane proszkowo, wykonane z  kątownik hutniczy gorącowalcowany (krawędź = kąt 90 stopni) wymiar 30x30mm, grubość 3mm</w:t>
            </w:r>
            <w:r w:rsidR="00A51B00">
              <w:t xml:space="preserve"> – 50 szt.</w:t>
            </w:r>
          </w:p>
        </w:tc>
        <w:tc>
          <w:tcPr>
            <w:tcW w:w="1536" w:type="dxa"/>
          </w:tcPr>
          <w:p w14:paraId="56B245A6" w14:textId="77777777" w:rsidR="00A350D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3EE112DC" w14:textId="77777777" w:rsidR="00A350D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3D3B0C01" w14:textId="77777777" w:rsidR="00A350D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1021D0A8" w14:textId="5B9D510B" w:rsidR="00A350DE" w:rsidRPr="0067447E" w:rsidRDefault="00A350DE" w:rsidP="00A350D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936" w:type="dxa"/>
          </w:tcPr>
          <w:p w14:paraId="561A5C6E" w14:textId="77777777" w:rsidR="00A350DE" w:rsidRPr="0067447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968BC" w:rsidRPr="0067447E" w14:paraId="3954A4F9" w14:textId="77777777" w:rsidTr="00FD0412">
        <w:tc>
          <w:tcPr>
            <w:tcW w:w="6296" w:type="dxa"/>
          </w:tcPr>
          <w:p w14:paraId="2DD7BCEA" w14:textId="6608EFFC" w:rsidR="00A350DE" w:rsidRPr="000A778D" w:rsidRDefault="000A778D" w:rsidP="004E28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KOSZT 2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Zakup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ekspresów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do kawy do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świadczenia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usług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A778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cateringowych/kawowych</w:t>
            </w:r>
          </w:p>
        </w:tc>
        <w:tc>
          <w:tcPr>
            <w:tcW w:w="1536" w:type="dxa"/>
          </w:tcPr>
          <w:p w14:paraId="716A68BB" w14:textId="77777777" w:rsidR="00A350D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48771833" w14:textId="147C078E" w:rsidR="00A350DE" w:rsidRDefault="00A350DE" w:rsidP="000A778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936" w:type="dxa"/>
          </w:tcPr>
          <w:p w14:paraId="1BE84967" w14:textId="77777777" w:rsidR="00A350DE" w:rsidRPr="0067447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968BC" w:rsidRPr="0067447E" w14:paraId="3DBAF9CB" w14:textId="77777777" w:rsidTr="00FD0412">
        <w:tc>
          <w:tcPr>
            <w:tcW w:w="6296" w:type="dxa"/>
          </w:tcPr>
          <w:p w14:paraId="4B922DDE" w14:textId="4987A03D" w:rsidR="00A350DE" w:rsidRDefault="000A778D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SPECYFIKACJA:</w:t>
            </w:r>
          </w:p>
          <w:p w14:paraId="70DF48BD" w14:textId="7B4E423F" w:rsidR="000A778D" w:rsidRPr="00B968BC" w:rsidRDefault="00B968BC" w:rsidP="00B968BC">
            <w:pPr>
              <w:autoSpaceDE w:val="0"/>
              <w:autoSpaceDN w:val="0"/>
              <w:adjustRightInd w:val="0"/>
              <w:spacing w:line="360" w:lineRule="auto"/>
              <w:ind w:right="-39"/>
              <w:rPr>
                <w:rFonts w:cstheme="minorHAnsi"/>
                <w:color w:val="000000" w:themeColor="text1"/>
              </w:rPr>
            </w:pPr>
            <w:r w:rsidRPr="00B968BC">
              <w:rPr>
                <w:rFonts w:cstheme="minorHAnsi"/>
                <w:b/>
                <w:bCs/>
                <w:color w:val="000000" w:themeColor="text1"/>
              </w:rPr>
              <w:t>Ekspres kolbowy</w:t>
            </w:r>
            <w:r w:rsidRPr="00B968BC">
              <w:rPr>
                <w:rFonts w:cstheme="minorHAnsi"/>
                <w:color w:val="000000" w:themeColor="text1"/>
              </w:rPr>
              <w:t xml:space="preserve"> – </w:t>
            </w:r>
            <w:r w:rsidRPr="00B968BC">
              <w:t>2 grupy,</w:t>
            </w:r>
            <w:r>
              <w:t xml:space="preserve"> </w:t>
            </w:r>
            <w:r w:rsidRPr="00B968BC">
              <w:t>przyciski do programowania ekspresu, dysza automatycznie spieniająca, bojler 6-8 l, wyświetlacz umożliwiający m.in. programowanie, ekonomizer</w:t>
            </w:r>
            <w:r w:rsidRPr="00B968BC">
              <w:br/>
              <w:t>podświetlane grupy, 230 V, Szerokość max 75 cm, Wysokość max 55 cm, Głębokość max 55 cm, Waga 50-55 kg</w:t>
            </w:r>
          </w:p>
          <w:p w14:paraId="095B999B" w14:textId="325ECEAE" w:rsidR="00B968BC" w:rsidRPr="00B968BC" w:rsidRDefault="00B968BC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B968BC">
              <w:rPr>
                <w:rFonts w:cstheme="minorHAnsi"/>
                <w:b/>
                <w:bCs/>
                <w:color w:val="000000" w:themeColor="text1"/>
              </w:rPr>
              <w:t>Ekspres automatyczny</w:t>
            </w:r>
            <w:r w:rsidRPr="00B968BC">
              <w:rPr>
                <w:rFonts w:cstheme="minorHAnsi"/>
                <w:color w:val="000000" w:themeColor="text1"/>
              </w:rPr>
              <w:t xml:space="preserve"> – wydajność dzienna min. 80 kaw, możliwość dodania telemetrii, zbiornik na wodę min. 4 l., zbiornik na kawę min. 1100g, </w:t>
            </w:r>
            <w:r>
              <w:rPr>
                <w:rFonts w:cstheme="minorHAnsi"/>
                <w:color w:val="000000" w:themeColor="text1"/>
              </w:rPr>
              <w:t>d</w:t>
            </w:r>
            <w:r w:rsidRPr="00B92940">
              <w:t>otykowy wyświetlacz min. 7 cali</w:t>
            </w:r>
            <w:r>
              <w:t>, w</w:t>
            </w:r>
            <w:r w:rsidRPr="00B92940">
              <w:t>aga max 26 kg</w:t>
            </w:r>
            <w:r>
              <w:t>, p</w:t>
            </w:r>
            <w:r w:rsidRPr="00B92940">
              <w:t>oziom hałasu &lt;70 dB</w:t>
            </w:r>
            <w:r>
              <w:t>, wyjmowany zaparzacz, szer. Max. 33cm, wys. max. 50cm, głęb. max. 58cm.</w:t>
            </w:r>
          </w:p>
          <w:p w14:paraId="529268B5" w14:textId="53CE199F" w:rsidR="00021292" w:rsidRDefault="00B968BC" w:rsidP="00B968BC">
            <w:pPr>
              <w:autoSpaceDE w:val="0"/>
              <w:autoSpaceDN w:val="0"/>
              <w:adjustRightInd w:val="0"/>
              <w:spacing w:line="360" w:lineRule="auto"/>
            </w:pPr>
            <w:r w:rsidRPr="00B968BC">
              <w:rPr>
                <w:rFonts w:cstheme="minorHAnsi"/>
                <w:b/>
                <w:bCs/>
                <w:color w:val="000000" w:themeColor="text1"/>
              </w:rPr>
              <w:t>Młynek do kawy</w:t>
            </w:r>
            <w:r w:rsidRPr="00B968BC">
              <w:rPr>
                <w:rFonts w:cstheme="minorHAnsi"/>
                <w:color w:val="000000" w:themeColor="text1"/>
              </w:rPr>
              <w:t xml:space="preserve"> - </w:t>
            </w:r>
            <w:r>
              <w:rPr>
                <w:rFonts w:cstheme="minorHAnsi"/>
                <w:color w:val="000000" w:themeColor="text1"/>
              </w:rPr>
              <w:t>ż</w:t>
            </w:r>
            <w:r w:rsidRPr="00B968BC">
              <w:t>arna 64 mm</w:t>
            </w:r>
            <w:r>
              <w:t>, m</w:t>
            </w:r>
            <w:r w:rsidRPr="00B968BC">
              <w:t>ielenie na żądanie</w:t>
            </w:r>
            <w:r>
              <w:t>, d</w:t>
            </w:r>
            <w:r w:rsidRPr="00B968BC">
              <w:t>otykowy wyświetlacz</w:t>
            </w:r>
            <w:r>
              <w:t>,</w:t>
            </w:r>
            <w:r w:rsidR="00021292">
              <w:t xml:space="preserve"> </w:t>
            </w:r>
            <w:r>
              <w:t>t</w:t>
            </w:r>
            <w:r w:rsidRPr="00B968BC">
              <w:t>ritanowy hopper podlegający w 100% recyklingowi o pojemności </w:t>
            </w:r>
            <w:r w:rsidR="00FD0412">
              <w:t>min. 500g</w:t>
            </w:r>
            <w:r>
              <w:t>,</w:t>
            </w:r>
          </w:p>
          <w:p w14:paraId="182F2C78" w14:textId="55C7C051" w:rsidR="00A350DE" w:rsidRDefault="00B968BC" w:rsidP="00B968BC">
            <w:pPr>
              <w:autoSpaceDE w:val="0"/>
              <w:autoSpaceDN w:val="0"/>
              <w:adjustRightInd w:val="0"/>
              <w:spacing w:line="360" w:lineRule="auto"/>
            </w:pPr>
            <w:r>
              <w:t>s</w:t>
            </w:r>
            <w:r w:rsidRPr="00B968BC">
              <w:t>zerokość max 22 cm</w:t>
            </w:r>
            <w:r>
              <w:t>, w</w:t>
            </w:r>
            <w:r w:rsidRPr="00B968BC">
              <w:t>ysokość max 53 cm</w:t>
            </w:r>
            <w:r>
              <w:t xml:space="preserve">, </w:t>
            </w:r>
            <w:r w:rsidRPr="00B968BC">
              <w:t>głębokość max 42 cm</w:t>
            </w:r>
            <w:r>
              <w:t>, w</w:t>
            </w:r>
            <w:r w:rsidRPr="00B968BC">
              <w:t>aga 9-10 kg</w:t>
            </w:r>
          </w:p>
          <w:p w14:paraId="3A10FE99" w14:textId="77777777" w:rsidR="00B968BC" w:rsidRDefault="00B968BC" w:rsidP="00B968BC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 w:themeColor="text1"/>
              </w:rPr>
            </w:pPr>
            <w:r w:rsidRPr="00B968BC">
              <w:rPr>
                <w:rFonts w:cstheme="minorHAnsi"/>
                <w:b/>
                <w:bCs/>
                <w:color w:val="000000" w:themeColor="text1"/>
              </w:rPr>
              <w:lastRenderedPageBreak/>
              <w:t>Lodówka do mleka</w:t>
            </w:r>
            <w:r>
              <w:rPr>
                <w:rFonts w:cstheme="minorHAnsi"/>
                <w:color w:val="000000" w:themeColor="text1"/>
              </w:rPr>
              <w:t xml:space="preserve"> pojemnik na mleko 3,5l – 4l, kompresorowa.</w:t>
            </w:r>
          </w:p>
          <w:p w14:paraId="29429736" w14:textId="77777777" w:rsidR="00B968BC" w:rsidRPr="00B968BC" w:rsidRDefault="00B968BC" w:rsidP="00B968BC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B968BC">
              <w:rPr>
                <w:rFonts w:cstheme="minorHAnsi"/>
                <w:b/>
                <w:bCs/>
                <w:color w:val="000000" w:themeColor="text1"/>
              </w:rPr>
              <w:t>Tamper dynamometryczny</w:t>
            </w:r>
          </w:p>
          <w:p w14:paraId="62282504" w14:textId="77777777" w:rsidR="00B968BC" w:rsidRDefault="00B968BC" w:rsidP="00B968BC">
            <w:pPr>
              <w:autoSpaceDE w:val="0"/>
              <w:autoSpaceDN w:val="0"/>
              <w:adjustRightInd w:val="0"/>
              <w:spacing w:line="360" w:lineRule="auto"/>
            </w:pPr>
            <w:r w:rsidRPr="00B968BC">
              <w:rPr>
                <w:b/>
                <w:bCs/>
              </w:rPr>
              <w:t>Zestawy filtracyjny do wody</w:t>
            </w:r>
            <w:r w:rsidRPr="00B92940">
              <w:t>, osobne obu ekspresów</w:t>
            </w:r>
          </w:p>
          <w:p w14:paraId="33BBD26E" w14:textId="6F75F317" w:rsidR="00B968BC" w:rsidRPr="00B968BC" w:rsidRDefault="00B968BC" w:rsidP="00B968BC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 w:themeColor="text1"/>
              </w:rPr>
            </w:pPr>
            <w:r w:rsidRPr="00B968BC">
              <w:rPr>
                <w:b/>
                <w:bCs/>
              </w:rPr>
              <w:t>Stałe przyłącza do wody</w:t>
            </w:r>
            <w:r w:rsidRPr="00B92940">
              <w:t>, osobne obu ekspresów</w:t>
            </w:r>
            <w:r>
              <w:t>.</w:t>
            </w:r>
          </w:p>
        </w:tc>
        <w:tc>
          <w:tcPr>
            <w:tcW w:w="1536" w:type="dxa"/>
          </w:tcPr>
          <w:p w14:paraId="478494DC" w14:textId="0B50C1A3" w:rsidR="00A350DE" w:rsidRDefault="00A350DE" w:rsidP="000A778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2936" w:type="dxa"/>
          </w:tcPr>
          <w:p w14:paraId="444FA007" w14:textId="77777777" w:rsidR="00A350DE" w:rsidRPr="0067447E" w:rsidRDefault="00A350D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BEBDC4C" w14:textId="77777777" w:rsidR="00FE594C" w:rsidRDefault="00FE594C" w:rsidP="004C7909"/>
    <w:p w14:paraId="2C139320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47CBE6DB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4320598E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2C7BFF51" w14:textId="746433B3" w:rsidR="004C7909" w:rsidRPr="00A32336" w:rsidRDefault="004C7909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………….</w:t>
      </w:r>
      <w:r w:rsidRPr="00A32336">
        <w:rPr>
          <w:rFonts w:cs="Times New Roman"/>
          <w:sz w:val="24"/>
          <w:szCs w:val="24"/>
        </w:rPr>
        <w:t>…………….</w:t>
      </w:r>
    </w:p>
    <w:p w14:paraId="23EF4021" w14:textId="2BFE8B49" w:rsidR="004C7909" w:rsidRPr="004C7909" w:rsidRDefault="004C7909" w:rsidP="004C7909">
      <w:r>
        <w:rPr>
          <w:rFonts w:cs="Times New Roman"/>
          <w:sz w:val="24"/>
          <w:szCs w:val="24"/>
        </w:rPr>
        <w:t xml:space="preserve">      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sectPr w:rsidR="004C7909" w:rsidRPr="004C7909" w:rsidSect="00FE594C">
      <w:headerReference w:type="default" r:id="rId7"/>
      <w:pgSz w:w="11906" w:h="16838"/>
      <w:pgMar w:top="1417" w:right="566" w:bottom="993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F3ED" w14:textId="77777777" w:rsidR="00FA222F" w:rsidRDefault="00FA222F" w:rsidP="00FA222F">
      <w:pPr>
        <w:spacing w:after="0" w:line="240" w:lineRule="auto"/>
      </w:pPr>
      <w:r>
        <w:separator/>
      </w:r>
    </w:p>
  </w:endnote>
  <w:endnote w:type="continuationSeparator" w:id="0">
    <w:p w14:paraId="5FF075CD" w14:textId="77777777" w:rsidR="00FA222F" w:rsidRDefault="00FA222F" w:rsidP="00FA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A1D5" w14:textId="77777777" w:rsidR="00FA222F" w:rsidRDefault="00FA222F" w:rsidP="00FA222F">
      <w:pPr>
        <w:spacing w:after="0" w:line="240" w:lineRule="auto"/>
      </w:pPr>
      <w:r>
        <w:separator/>
      </w:r>
    </w:p>
  </w:footnote>
  <w:footnote w:type="continuationSeparator" w:id="0">
    <w:p w14:paraId="39FC3937" w14:textId="77777777" w:rsidR="00FA222F" w:rsidRDefault="00FA222F" w:rsidP="00FA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9812" w14:textId="08FC32EE" w:rsidR="00FA222F" w:rsidRDefault="00340CB9" w:rsidP="00340CB9">
    <w:pPr>
      <w:pStyle w:val="Nagwek"/>
      <w:jc w:val="center"/>
    </w:pPr>
    <w:r>
      <w:rPr>
        <w:noProof/>
        <w:lang w:eastAsia="pl-PL"/>
      </w:rPr>
      <w:t xml:space="preserve">                                               </w:t>
    </w:r>
    <w:r w:rsidR="00A350DE">
      <w:rPr>
        <w:noProof/>
      </w:rPr>
      <w:drawing>
        <wp:inline distT="0" distB="0" distL="0" distR="0" wp14:anchorId="4E3A7AD3" wp14:editId="3486CA7E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1FD4F1" w14:textId="77777777" w:rsidR="00FA222F" w:rsidRDefault="00FA22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D83617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E7078D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A"/>
    <w:multiLevelType w:val="multilevel"/>
    <w:tmpl w:val="0000000A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2CCE"/>
    <w:multiLevelType w:val="hybridMultilevel"/>
    <w:tmpl w:val="1E342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B51A7"/>
    <w:multiLevelType w:val="multilevel"/>
    <w:tmpl w:val="8046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6B3AC3"/>
    <w:multiLevelType w:val="multilevel"/>
    <w:tmpl w:val="10DA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C804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E93D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1A76271"/>
    <w:multiLevelType w:val="multilevel"/>
    <w:tmpl w:val="A92C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4DFF7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3EB1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4F87192"/>
    <w:multiLevelType w:val="multilevel"/>
    <w:tmpl w:val="7938E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510B24"/>
    <w:multiLevelType w:val="multilevel"/>
    <w:tmpl w:val="113E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0287C"/>
    <w:multiLevelType w:val="hybridMultilevel"/>
    <w:tmpl w:val="9B0EE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82220"/>
    <w:multiLevelType w:val="multilevel"/>
    <w:tmpl w:val="ADD0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747CB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3792F8D"/>
    <w:multiLevelType w:val="hybridMultilevel"/>
    <w:tmpl w:val="8322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16243"/>
    <w:multiLevelType w:val="multilevel"/>
    <w:tmpl w:val="CB14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1034403">
    <w:abstractNumId w:val="13"/>
  </w:num>
  <w:num w:numId="2" w16cid:durableId="1827697518">
    <w:abstractNumId w:val="12"/>
  </w:num>
  <w:num w:numId="3" w16cid:durableId="1361515620">
    <w:abstractNumId w:val="11"/>
  </w:num>
  <w:num w:numId="4" w16cid:durableId="365257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33466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687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0164339">
    <w:abstractNumId w:val="27"/>
  </w:num>
  <w:num w:numId="8" w16cid:durableId="464008690">
    <w:abstractNumId w:val="19"/>
  </w:num>
  <w:num w:numId="9" w16cid:durableId="1613247428">
    <w:abstractNumId w:val="10"/>
  </w:num>
  <w:num w:numId="10" w16cid:durableId="2056078075">
    <w:abstractNumId w:val="24"/>
  </w:num>
  <w:num w:numId="11" w16cid:durableId="1156340576">
    <w:abstractNumId w:val="23"/>
  </w:num>
  <w:num w:numId="12" w16cid:durableId="2031103574">
    <w:abstractNumId w:val="15"/>
  </w:num>
  <w:num w:numId="13" w16cid:durableId="446656532">
    <w:abstractNumId w:val="22"/>
  </w:num>
  <w:num w:numId="14" w16cid:durableId="1149396339">
    <w:abstractNumId w:val="25"/>
  </w:num>
  <w:num w:numId="15" w16cid:durableId="47341373">
    <w:abstractNumId w:val="16"/>
  </w:num>
  <w:num w:numId="16" w16cid:durableId="543370274">
    <w:abstractNumId w:val="2"/>
  </w:num>
  <w:num w:numId="17" w16cid:durableId="1408962180">
    <w:abstractNumId w:val="3"/>
  </w:num>
  <w:num w:numId="18" w16cid:durableId="214388513">
    <w:abstractNumId w:val="4"/>
  </w:num>
  <w:num w:numId="19" w16cid:durableId="1826969961">
    <w:abstractNumId w:val="5"/>
  </w:num>
  <w:num w:numId="20" w16cid:durableId="687876686">
    <w:abstractNumId w:val="8"/>
  </w:num>
  <w:num w:numId="21" w16cid:durableId="90911630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28220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478566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259253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8778124">
    <w:abstractNumId w:val="7"/>
  </w:num>
  <w:num w:numId="26" w16cid:durableId="945816694">
    <w:abstractNumId w:val="20"/>
  </w:num>
  <w:num w:numId="27" w16cid:durableId="163130276">
    <w:abstractNumId w:val="0"/>
  </w:num>
  <w:num w:numId="28" w16cid:durableId="422648823">
    <w:abstractNumId w:val="26"/>
  </w:num>
  <w:num w:numId="29" w16cid:durableId="886573823">
    <w:abstractNumId w:val="1"/>
  </w:num>
  <w:num w:numId="30" w16cid:durableId="94594385">
    <w:abstractNumId w:val="18"/>
  </w:num>
  <w:num w:numId="31" w16cid:durableId="2011516181">
    <w:abstractNumId w:val="28"/>
  </w:num>
  <w:num w:numId="32" w16cid:durableId="1675841938">
    <w:abstractNumId w:val="14"/>
  </w:num>
  <w:num w:numId="33" w16cid:durableId="566303293">
    <w:abstractNumId w:val="21"/>
  </w:num>
  <w:num w:numId="34" w16cid:durableId="12124235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05"/>
    <w:rsid w:val="000001D8"/>
    <w:rsid w:val="00021292"/>
    <w:rsid w:val="00022D1D"/>
    <w:rsid w:val="00037782"/>
    <w:rsid w:val="00082873"/>
    <w:rsid w:val="000A778D"/>
    <w:rsid w:val="000C38E6"/>
    <w:rsid w:val="00111A55"/>
    <w:rsid w:val="00127FDB"/>
    <w:rsid w:val="001B1745"/>
    <w:rsid w:val="001D3BCC"/>
    <w:rsid w:val="001D4A40"/>
    <w:rsid w:val="001E419A"/>
    <w:rsid w:val="001F4540"/>
    <w:rsid w:val="002125F5"/>
    <w:rsid w:val="00214A4F"/>
    <w:rsid w:val="00245951"/>
    <w:rsid w:val="002634B1"/>
    <w:rsid w:val="0027696D"/>
    <w:rsid w:val="002C6C24"/>
    <w:rsid w:val="002D55CA"/>
    <w:rsid w:val="002E285D"/>
    <w:rsid w:val="002E2C58"/>
    <w:rsid w:val="00336F23"/>
    <w:rsid w:val="00340CB9"/>
    <w:rsid w:val="003C3100"/>
    <w:rsid w:val="003F1577"/>
    <w:rsid w:val="003F2BCE"/>
    <w:rsid w:val="003F5BBC"/>
    <w:rsid w:val="00434C05"/>
    <w:rsid w:val="004461B2"/>
    <w:rsid w:val="00456C96"/>
    <w:rsid w:val="004730FF"/>
    <w:rsid w:val="004B4E05"/>
    <w:rsid w:val="004C15EA"/>
    <w:rsid w:val="004C7909"/>
    <w:rsid w:val="004D14E2"/>
    <w:rsid w:val="004E28B0"/>
    <w:rsid w:val="00557B9D"/>
    <w:rsid w:val="0057775D"/>
    <w:rsid w:val="0059177F"/>
    <w:rsid w:val="005F19D9"/>
    <w:rsid w:val="00631113"/>
    <w:rsid w:val="0063188C"/>
    <w:rsid w:val="006422FE"/>
    <w:rsid w:val="00647102"/>
    <w:rsid w:val="006F00F0"/>
    <w:rsid w:val="00716423"/>
    <w:rsid w:val="00757701"/>
    <w:rsid w:val="00767F64"/>
    <w:rsid w:val="007A53B2"/>
    <w:rsid w:val="007B1FB1"/>
    <w:rsid w:val="008254EF"/>
    <w:rsid w:val="0082786E"/>
    <w:rsid w:val="00887DF3"/>
    <w:rsid w:val="00895E58"/>
    <w:rsid w:val="008D12C4"/>
    <w:rsid w:val="00932D83"/>
    <w:rsid w:val="00963AD1"/>
    <w:rsid w:val="00964F26"/>
    <w:rsid w:val="009738B6"/>
    <w:rsid w:val="0097563D"/>
    <w:rsid w:val="009C1032"/>
    <w:rsid w:val="009E4BF1"/>
    <w:rsid w:val="00A06EE3"/>
    <w:rsid w:val="00A20A66"/>
    <w:rsid w:val="00A350DE"/>
    <w:rsid w:val="00A3778F"/>
    <w:rsid w:val="00A51B00"/>
    <w:rsid w:val="00A756F5"/>
    <w:rsid w:val="00AA244F"/>
    <w:rsid w:val="00AA410B"/>
    <w:rsid w:val="00AB5D1D"/>
    <w:rsid w:val="00AF68BE"/>
    <w:rsid w:val="00B32496"/>
    <w:rsid w:val="00B61759"/>
    <w:rsid w:val="00B968BC"/>
    <w:rsid w:val="00BE455E"/>
    <w:rsid w:val="00C03CCA"/>
    <w:rsid w:val="00C266C9"/>
    <w:rsid w:val="00C267C0"/>
    <w:rsid w:val="00C400F8"/>
    <w:rsid w:val="00C86E59"/>
    <w:rsid w:val="00CD6FAB"/>
    <w:rsid w:val="00CE3043"/>
    <w:rsid w:val="00D170E7"/>
    <w:rsid w:val="00D42C4B"/>
    <w:rsid w:val="00D741C9"/>
    <w:rsid w:val="00D9659D"/>
    <w:rsid w:val="00D968E6"/>
    <w:rsid w:val="00DB295E"/>
    <w:rsid w:val="00DB4687"/>
    <w:rsid w:val="00E43F1E"/>
    <w:rsid w:val="00E45C8C"/>
    <w:rsid w:val="00E53123"/>
    <w:rsid w:val="00E761AB"/>
    <w:rsid w:val="00E936AB"/>
    <w:rsid w:val="00EC4E99"/>
    <w:rsid w:val="00EC5C65"/>
    <w:rsid w:val="00EE496A"/>
    <w:rsid w:val="00F04C2F"/>
    <w:rsid w:val="00F336FB"/>
    <w:rsid w:val="00F443A3"/>
    <w:rsid w:val="00F5666F"/>
    <w:rsid w:val="00F57D23"/>
    <w:rsid w:val="00FA222F"/>
    <w:rsid w:val="00FA5267"/>
    <w:rsid w:val="00FC77AC"/>
    <w:rsid w:val="00FD0412"/>
    <w:rsid w:val="00FE594C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BBB154E"/>
  <w15:chartTrackingRefBased/>
  <w15:docId w15:val="{B75143F9-86FA-4CD4-A27B-F9A05FC3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55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uiPriority w:val="99"/>
    <w:unhideWhenUsed/>
    <w:rsid w:val="008254EF"/>
    <w:pPr>
      <w:numPr>
        <w:numId w:val="1"/>
      </w:numPr>
      <w:spacing w:line="259" w:lineRule="auto"/>
      <w:contextualSpacing/>
    </w:p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8254EF"/>
    <w:pPr>
      <w:spacing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825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8254EF"/>
  </w:style>
  <w:style w:type="paragraph" w:styleId="Nagwek">
    <w:name w:val="header"/>
    <w:basedOn w:val="Normalny"/>
    <w:link w:val="Nagwek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22F"/>
  </w:style>
  <w:style w:type="paragraph" w:styleId="Stopka">
    <w:name w:val="footer"/>
    <w:basedOn w:val="Normalny"/>
    <w:link w:val="Stopka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22F"/>
  </w:style>
  <w:style w:type="paragraph" w:customStyle="1" w:styleId="Default">
    <w:name w:val="Default"/>
    <w:rsid w:val="004C79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7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">
    <w:name w:val="Tab"/>
    <w:basedOn w:val="Normalny"/>
    <w:qFormat/>
    <w:rsid w:val="00F57D23"/>
    <w:pPr>
      <w:tabs>
        <w:tab w:val="right" w:leader="underscore" w:pos="10206"/>
      </w:tabs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23"/>
      <w:szCs w:val="23"/>
      <w:u w:val="single"/>
      <w:lang w:eastAsia="ar-SA"/>
    </w:rPr>
  </w:style>
  <w:style w:type="character" w:customStyle="1" w:styleId="WW-Absatz-Standardschriftart">
    <w:name w:val="WW-Absatz-Standardschriftart"/>
    <w:rsid w:val="007A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906</Words>
  <Characters>5948</Characters>
  <Application>Microsoft Office Word</Application>
  <DocSecurity>0</DocSecurity>
  <Lines>104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Słomiński</dc:creator>
  <cp:keywords/>
  <dc:description/>
  <cp:lastModifiedBy>Konrad Słomiński</cp:lastModifiedBy>
  <cp:revision>52</cp:revision>
  <dcterms:created xsi:type="dcterms:W3CDTF">2022-02-10T07:33:00Z</dcterms:created>
  <dcterms:modified xsi:type="dcterms:W3CDTF">2025-12-12T07:21:00Z</dcterms:modified>
</cp:coreProperties>
</file>